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E6873" w14:textId="77777777" w:rsidR="005301B6" w:rsidRPr="005301B6" w:rsidRDefault="003803BB" w:rsidP="005301B6">
      <w:pPr>
        <w:pStyle w:val="Titel"/>
      </w:pPr>
      <w:r w:rsidRPr="008820C2">
        <w:rPr>
          <w:snapToGrid w:val="0"/>
          <w:w w:val="0"/>
          <w:sz w:val="0"/>
          <w:szCs w:val="0"/>
          <w:u w:color="000000"/>
          <w:bdr w:val="none" w:sz="0" w:space="0" w:color="000000"/>
          <w:shd w:val="clear" w:color="000000" w:fill="000000"/>
          <w:lang w:eastAsia="x-none" w:bidi="x-none"/>
        </w:rPr>
        <w:t xml:space="preserve"> </w:t>
      </w:r>
      <w:r w:rsidRPr="005301B6">
        <w:t>Die Stromrechnung verstehen</w:t>
      </w:r>
    </w:p>
    <w:p w14:paraId="492E3CEB" w14:textId="5F9025FE" w:rsidR="003803BB" w:rsidRPr="005301B6" w:rsidRDefault="003803BB" w:rsidP="005301B6">
      <w:pPr>
        <w:rPr>
          <w:rStyle w:val="Fett"/>
        </w:rPr>
      </w:pPr>
      <w:r w:rsidRPr="005301B6">
        <w:rPr>
          <w:rStyle w:val="Fett"/>
        </w:rPr>
        <w:t>Oftmals werfen wir nur einen kurzen Blick auf die Stromrechnung – dabei lohnt es sich, die einzelnen Bestandteile genauer zu betrachten. Denn nur so lassen sich Kosten nachvollziehen und Einsparpotenziale erkennen.</w:t>
      </w:r>
    </w:p>
    <w:p w14:paraId="2B76F119" w14:textId="77777777" w:rsidR="003803BB" w:rsidRPr="005301B6" w:rsidRDefault="003803BB" w:rsidP="005301B6">
      <w:pPr>
        <w:pStyle w:val="berschrift1"/>
        <w:rPr>
          <w:lang w:val="de-AT"/>
        </w:rPr>
      </w:pPr>
      <w:r w:rsidRPr="005301B6">
        <w:rPr>
          <w:lang w:val="de-AT"/>
        </w:rPr>
        <w:t>Wie setzen sich die Stromkosten zusammen?</w:t>
      </w:r>
    </w:p>
    <w:p w14:paraId="0DE3D8B8" w14:textId="470BD1A8" w:rsidR="003803BB" w:rsidRPr="005301B6" w:rsidRDefault="003803BB" w:rsidP="005301B6">
      <w:pPr>
        <w:pStyle w:val="berschrift2"/>
        <w:rPr>
          <w:lang w:val="de-AT"/>
        </w:rPr>
      </w:pPr>
      <w:r w:rsidRPr="005301B6">
        <w:rPr>
          <w:lang w:val="de-AT"/>
        </w:rPr>
        <w:t>Grundsätzlich finden Sie auf Ihrer Stromrechnung drei Kostenblöcke:</w:t>
      </w:r>
    </w:p>
    <w:p w14:paraId="78FDBA0C" w14:textId="77777777" w:rsidR="003803BB" w:rsidRPr="005301B6" w:rsidRDefault="003803BB" w:rsidP="005301B6">
      <w:pPr>
        <w:pStyle w:val="Listenabsatz"/>
        <w:numPr>
          <w:ilvl w:val="0"/>
          <w:numId w:val="44"/>
        </w:numPr>
        <w:rPr>
          <w:shd w:val="clear" w:color="auto" w:fill="FFFFFF"/>
        </w:rPr>
      </w:pPr>
      <w:r w:rsidRPr="005301B6">
        <w:rPr>
          <w:shd w:val="clear" w:color="auto" w:fill="FFFFFF"/>
        </w:rPr>
        <w:t>Energiekosten</w:t>
      </w:r>
    </w:p>
    <w:p w14:paraId="2D121F20" w14:textId="58621A52" w:rsidR="00203E02" w:rsidRPr="005301B6" w:rsidRDefault="003803BB" w:rsidP="005301B6">
      <w:pPr>
        <w:pStyle w:val="Listenabsatz"/>
        <w:numPr>
          <w:ilvl w:val="0"/>
          <w:numId w:val="44"/>
        </w:numPr>
        <w:rPr>
          <w:rFonts w:cs="Arial"/>
          <w:bCs/>
          <w:szCs w:val="22"/>
          <w:shd w:val="clear" w:color="auto" w:fill="FFFFFF"/>
        </w:rPr>
      </w:pPr>
      <w:r w:rsidRPr="005301B6">
        <w:rPr>
          <w:rFonts w:cs="Arial"/>
          <w:bCs/>
          <w:szCs w:val="22"/>
          <w:shd w:val="clear" w:color="auto" w:fill="FFFFFF"/>
        </w:rPr>
        <w:t>Netzkosten</w:t>
      </w:r>
    </w:p>
    <w:p w14:paraId="3611F191" w14:textId="77777777" w:rsidR="003803BB" w:rsidRPr="005301B6" w:rsidRDefault="003803BB" w:rsidP="005301B6">
      <w:pPr>
        <w:pStyle w:val="Listenabsatz"/>
        <w:numPr>
          <w:ilvl w:val="0"/>
          <w:numId w:val="44"/>
        </w:numPr>
        <w:rPr>
          <w:rFonts w:cs="Arial"/>
          <w:bCs/>
          <w:szCs w:val="22"/>
          <w:shd w:val="clear" w:color="auto" w:fill="FFFFFF"/>
        </w:rPr>
      </w:pPr>
      <w:r w:rsidRPr="005301B6">
        <w:rPr>
          <w:rFonts w:cs="Arial"/>
          <w:bCs/>
          <w:szCs w:val="22"/>
          <w:shd w:val="clear" w:color="auto" w:fill="FFFFFF"/>
        </w:rPr>
        <w:t>Steuern und Abgaben</w:t>
      </w:r>
    </w:p>
    <w:p w14:paraId="497A45C7" w14:textId="77777777" w:rsidR="005301B6" w:rsidRPr="005301B6" w:rsidRDefault="005301B6" w:rsidP="005301B6">
      <w:pPr>
        <w:rPr>
          <w:rFonts w:cs="Arial"/>
          <w:bCs/>
          <w:szCs w:val="22"/>
          <w:shd w:val="clear" w:color="auto" w:fill="FFFFFF"/>
        </w:rPr>
      </w:pPr>
    </w:p>
    <w:p w14:paraId="696D0783" w14:textId="77777777" w:rsidR="003803BB" w:rsidRPr="005301B6" w:rsidRDefault="003803BB" w:rsidP="005301B6">
      <w:pPr>
        <w:rPr>
          <w:shd w:val="clear" w:color="auto" w:fill="FFFFFF"/>
        </w:rPr>
      </w:pPr>
      <w:r w:rsidRPr="005301B6">
        <w:rPr>
          <w:shd w:val="clear" w:color="auto" w:fill="FFFFFF"/>
        </w:rPr>
        <w:t>Jeder dieser Kostenblöcke ist wieder in verbrauchsabhängige Kosten (Cent pro Kilowattstunde) und Pauschalbeträge (pro Monat oder Jahr) aufgeteilt.</w:t>
      </w:r>
    </w:p>
    <w:p w14:paraId="16C62381" w14:textId="77777777" w:rsidR="003803BB" w:rsidRPr="005301B6" w:rsidRDefault="003803BB" w:rsidP="005301B6">
      <w:pPr>
        <w:rPr>
          <w:shd w:val="clear" w:color="auto" w:fill="FFFFFF"/>
        </w:rPr>
      </w:pPr>
      <w:r w:rsidRPr="005301B6">
        <w:rPr>
          <w:shd w:val="clear" w:color="auto" w:fill="FFFFFF"/>
        </w:rPr>
        <w:t>Tipp: Lediglich die Energiekosten können Sie aktiv beeinflussen, etwa durch einen Tarif</w:t>
      </w:r>
      <w:r w:rsidRPr="005301B6">
        <w:rPr>
          <w:rFonts w:ascii="Cambria Math" w:hAnsi="Cambria Math" w:cs="Cambria Math"/>
          <w:shd w:val="clear" w:color="auto" w:fill="FFFFFF"/>
        </w:rPr>
        <w:t>‑</w:t>
      </w:r>
      <w:r w:rsidRPr="005301B6">
        <w:rPr>
          <w:shd w:val="clear" w:color="auto" w:fill="FFFFFF"/>
        </w:rPr>
        <w:t xml:space="preserve"> oder Anbieterwechsel. Alle anderen Kosten sind staatlich festgelegte Beträge.</w:t>
      </w:r>
    </w:p>
    <w:p w14:paraId="613944FD" w14:textId="77777777" w:rsidR="003803BB" w:rsidRPr="005301B6" w:rsidRDefault="003803BB" w:rsidP="005301B6">
      <w:pPr>
        <w:pStyle w:val="berschrift1"/>
        <w:rPr>
          <w:lang w:val="de-AT"/>
        </w:rPr>
      </w:pPr>
      <w:r w:rsidRPr="005301B6">
        <w:rPr>
          <w:lang w:val="de-AT"/>
        </w:rPr>
        <w:t>Abrechnungsmöglichkeiten</w:t>
      </w:r>
    </w:p>
    <w:p w14:paraId="4A4CC974" w14:textId="227AEF41" w:rsidR="003803BB" w:rsidRPr="005301B6" w:rsidRDefault="003803BB" w:rsidP="003803BB">
      <w:pPr>
        <w:rPr>
          <w:shd w:val="clear" w:color="auto" w:fill="FFFFFF"/>
        </w:rPr>
      </w:pPr>
      <w:r w:rsidRPr="005301B6">
        <w:rPr>
          <w:shd w:val="clear" w:color="auto" w:fill="FFFFFF"/>
        </w:rPr>
        <w:t>In der Regel erhalten Sie monatlich oder vierteljährlich Zahlungsaufforderungen für entsprechende Teilzahlungen. Dabei handelt es sich nicht um eine Verrechnung auf Basis Ihres tatsächlichen, aktuellen Verbrauchs, sondern um berechnete Werte basierend auf der letzten Jahresabrechnung. Einmal jährlich erhalten Sie dann eine Abrechnung Ihres tatsächlichen Verbrauchs – die Jahresabrechnung. In dieser Rechnung werden die bereits geleisteten Teilzahlungen berücksichtigt. Je nachdem ergibt sich dann daraus eine Nachzahlung oder eine Gutschrift.</w:t>
      </w:r>
    </w:p>
    <w:p w14:paraId="142873D0" w14:textId="77777777" w:rsidR="005301B6" w:rsidRPr="005301B6" w:rsidRDefault="005301B6" w:rsidP="003803BB">
      <w:pPr>
        <w:rPr>
          <w:shd w:val="clear" w:color="auto" w:fill="FFFFFF"/>
        </w:rPr>
      </w:pPr>
    </w:p>
    <w:p w14:paraId="7ED94CD1" w14:textId="77777777" w:rsidR="003803BB" w:rsidRPr="005301B6" w:rsidRDefault="003803BB" w:rsidP="003803BB">
      <w:pPr>
        <w:rPr>
          <w:b/>
          <w:color w:val="005A99"/>
        </w:rPr>
      </w:pPr>
      <w:r w:rsidRPr="005301B6">
        <w:rPr>
          <w:shd w:val="clear" w:color="auto" w:fill="FFFFFF"/>
        </w:rPr>
        <w:t>Wenn Sie einen Smart Meter besitzen, haben Sie mittlerweile oft auch die Wahl, auf eine monatliche Abrechnung umzustellen. In diesem Fall zahlen Sie keine geschätzten Teilbeträge, sondern jeden Monat exakt das, was Sie in diesem Zeitraum tatsächlich verbraucht haben.</w:t>
      </w:r>
    </w:p>
    <w:p w14:paraId="2AE6B556" w14:textId="77777777" w:rsidR="003803BB" w:rsidRPr="005301B6" w:rsidRDefault="003803BB" w:rsidP="003803BB">
      <w:pPr>
        <w:pStyle w:val="berschrift1"/>
        <w:rPr>
          <w:lang w:val="de-AT"/>
        </w:rPr>
      </w:pPr>
      <w:r w:rsidRPr="005301B6">
        <w:rPr>
          <w:lang w:val="de-AT"/>
        </w:rPr>
        <w:t>Dynamische und zeitvariable Tarife</w:t>
      </w:r>
    </w:p>
    <w:p w14:paraId="7164DA6B" w14:textId="5E602E8D" w:rsidR="003803BB" w:rsidRPr="005301B6" w:rsidRDefault="003803BB" w:rsidP="003803BB">
      <w:pPr>
        <w:rPr>
          <w:shd w:val="clear" w:color="auto" w:fill="FFFFFF"/>
        </w:rPr>
      </w:pPr>
      <w:r w:rsidRPr="005301B6">
        <w:rPr>
          <w:shd w:val="clear" w:color="auto" w:fill="FFFFFF"/>
        </w:rPr>
        <w:t>Neue Technologien – vor allem Smart Meter und Photovoltaik – ermöglichen heute variable Tarifmodelle, d.h. der Strompreis oder die Netzkosten variieren je nach Tageszeit. Wer seinen Verbrauch flexibel gestaltet, kann davon profitieren.</w:t>
      </w:r>
    </w:p>
    <w:p w14:paraId="2B91147E" w14:textId="77777777" w:rsidR="003803BB" w:rsidRPr="005301B6" w:rsidRDefault="003803BB" w:rsidP="003803BB">
      <w:pPr>
        <w:rPr>
          <w:shd w:val="clear" w:color="auto" w:fill="FFFFFF"/>
        </w:rPr>
      </w:pPr>
    </w:p>
    <w:p w14:paraId="672A189D" w14:textId="7AD5AFD6" w:rsidR="003803BB" w:rsidRPr="005301B6" w:rsidRDefault="003803BB" w:rsidP="003803BB">
      <w:pPr>
        <w:rPr>
          <w:u w:val="single"/>
        </w:rPr>
      </w:pPr>
      <w:r w:rsidRPr="005301B6">
        <w:t>Details zu den unterschiedlichen Tarifmodellen und welche Einsparpotenziale diese bieten finden Sie unter</w:t>
      </w:r>
      <w:r w:rsidRPr="005301B6">
        <w:rPr>
          <w:b/>
        </w:rPr>
        <w:t xml:space="preserve"> </w:t>
      </w:r>
      <w:hyperlink r:id="rId11" w:history="1">
        <w:r w:rsidRPr="005301B6">
          <w:rPr>
            <w:u w:val="single"/>
          </w:rPr>
          <w:t>www.energie-noe.at</w:t>
        </w:r>
      </w:hyperlink>
      <w:r w:rsidRPr="005301B6">
        <w:rPr>
          <w:u w:val="single"/>
        </w:rPr>
        <w:t xml:space="preserve"> </w:t>
      </w:r>
      <w:r w:rsidRPr="005301B6">
        <w:rPr>
          <w:noProof/>
          <w:u w:val="single"/>
        </w:rPr>
        <w:drawing>
          <wp:anchor distT="0" distB="0" distL="114300" distR="114300" simplePos="0" relativeHeight="251660288" behindDoc="0" locked="0" layoutInCell="1" allowOverlap="1" wp14:anchorId="5458395D" wp14:editId="76EC1725">
            <wp:simplePos x="0" y="0"/>
            <wp:positionH relativeFrom="page">
              <wp:posOffset>4214495</wp:posOffset>
            </wp:positionH>
            <wp:positionV relativeFrom="page">
              <wp:posOffset>9950450</wp:posOffset>
            </wp:positionV>
            <wp:extent cx="2584800" cy="547200"/>
            <wp:effectExtent l="0" t="0" r="0" b="0"/>
            <wp:wrapNone/>
            <wp:docPr id="311400231" name="Grafik 311400231" descr="Ein Bild, das Text, Schrift, Logo,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00231" name="Grafik 311400231" descr="Ein Bild, das Text, Schrift, Logo, Electric Blue (Farbe) enthält.&#10;&#10;KI-generierte Inhalte können fehlerhaft sein."/>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0"/>
                      <a:ext cx="2584800" cy="547200"/>
                    </a:xfrm>
                    <a:prstGeom prst="rect">
                      <a:avLst/>
                    </a:prstGeom>
                  </pic:spPr>
                </pic:pic>
              </a:graphicData>
            </a:graphic>
            <wp14:sizeRelH relativeFrom="margin">
              <wp14:pctWidth>0</wp14:pctWidth>
            </wp14:sizeRelH>
            <wp14:sizeRelV relativeFrom="margin">
              <wp14:pctHeight>0</wp14:pctHeight>
            </wp14:sizeRelV>
          </wp:anchor>
        </w:drawing>
      </w:r>
    </w:p>
    <w:sectPr w:rsidR="003803BB" w:rsidRPr="005301B6" w:rsidSect="0078690A">
      <w:headerReference w:type="default" r:id="rId13"/>
      <w:footerReference w:type="default" r:id="rId14"/>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925CA" w14:textId="77777777" w:rsidR="008F1BA0" w:rsidRDefault="008F1BA0" w:rsidP="007457A6">
      <w:r>
        <w:separator/>
      </w:r>
    </w:p>
  </w:endnote>
  <w:endnote w:type="continuationSeparator" w:id="0">
    <w:p w14:paraId="0AE5FE2C" w14:textId="77777777" w:rsidR="008F1BA0" w:rsidRDefault="008F1BA0"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BE6C" w14:textId="77777777" w:rsidR="007457A6" w:rsidRDefault="00430954">
    <w:pPr>
      <w:pStyle w:val="Fuzeile"/>
    </w:pPr>
    <w:r>
      <w:rPr>
        <w:rFonts w:cstheme="minorHAnsi"/>
        <w:b/>
        <w:noProof/>
        <w:color w:val="ED7D31" w:themeColor="accent2"/>
        <w:szCs w:val="20"/>
      </w:rPr>
      <w:drawing>
        <wp:anchor distT="0" distB="0" distL="114300" distR="114300" simplePos="0" relativeHeight="251659264" behindDoc="1" locked="0" layoutInCell="1" allowOverlap="1" wp14:anchorId="5D8F9445" wp14:editId="68380BAE">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135C0" w14:textId="77777777" w:rsidR="008F1BA0" w:rsidRDefault="008F1BA0" w:rsidP="007457A6">
      <w:r>
        <w:separator/>
      </w:r>
    </w:p>
  </w:footnote>
  <w:footnote w:type="continuationSeparator" w:id="0">
    <w:p w14:paraId="7286E65F" w14:textId="77777777" w:rsidR="008F1BA0" w:rsidRDefault="008F1BA0"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1AEA"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5F3122CE" wp14:editId="7B1130F1">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B1D59"/>
    <w:multiLevelType w:val="hybridMultilevel"/>
    <w:tmpl w:val="17BE284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0FC2726"/>
    <w:multiLevelType w:val="hybridMultilevel"/>
    <w:tmpl w:val="F648ECD4"/>
    <w:lvl w:ilvl="0" w:tplc="0C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642198"/>
    <w:multiLevelType w:val="hybridMultilevel"/>
    <w:tmpl w:val="FB50E3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9"/>
  </w:num>
  <w:num w:numId="2" w16cid:durableId="1254431313">
    <w:abstractNumId w:val="28"/>
  </w:num>
  <w:num w:numId="3" w16cid:durableId="685986711">
    <w:abstractNumId w:val="43"/>
  </w:num>
  <w:num w:numId="4" w16cid:durableId="1619682901">
    <w:abstractNumId w:val="34"/>
  </w:num>
  <w:num w:numId="5" w16cid:durableId="1562666744">
    <w:abstractNumId w:val="6"/>
  </w:num>
  <w:num w:numId="6" w16cid:durableId="1034697308">
    <w:abstractNumId w:val="7"/>
  </w:num>
  <w:num w:numId="7" w16cid:durableId="1264268670">
    <w:abstractNumId w:val="2"/>
  </w:num>
  <w:num w:numId="8" w16cid:durableId="672412547">
    <w:abstractNumId w:val="33"/>
  </w:num>
  <w:num w:numId="9" w16cid:durableId="162858792">
    <w:abstractNumId w:val="17"/>
  </w:num>
  <w:num w:numId="10" w16cid:durableId="2136481951">
    <w:abstractNumId w:val="23"/>
  </w:num>
  <w:num w:numId="11" w16cid:durableId="1985043041">
    <w:abstractNumId w:val="25"/>
  </w:num>
  <w:num w:numId="12" w16cid:durableId="413161043">
    <w:abstractNumId w:val="9"/>
  </w:num>
  <w:num w:numId="13" w16cid:durableId="1194925536">
    <w:abstractNumId w:val="14"/>
  </w:num>
  <w:num w:numId="14" w16cid:durableId="836385102">
    <w:abstractNumId w:val="0"/>
  </w:num>
  <w:num w:numId="15" w16cid:durableId="965938434">
    <w:abstractNumId w:val="19"/>
  </w:num>
  <w:num w:numId="16" w16cid:durableId="1323239883">
    <w:abstractNumId w:val="21"/>
  </w:num>
  <w:num w:numId="17" w16cid:durableId="1766269617">
    <w:abstractNumId w:val="3"/>
  </w:num>
  <w:num w:numId="18" w16cid:durableId="2004776958">
    <w:abstractNumId w:val="20"/>
  </w:num>
  <w:num w:numId="19" w16cid:durableId="1816137614">
    <w:abstractNumId w:val="1"/>
  </w:num>
  <w:num w:numId="20" w16cid:durableId="1264217761">
    <w:abstractNumId w:val="8"/>
  </w:num>
  <w:num w:numId="21" w16cid:durableId="802113334">
    <w:abstractNumId w:val="10"/>
  </w:num>
  <w:num w:numId="22" w16cid:durableId="1210802806">
    <w:abstractNumId w:val="29"/>
  </w:num>
  <w:num w:numId="23" w16cid:durableId="1809122921">
    <w:abstractNumId w:val="11"/>
  </w:num>
  <w:num w:numId="24" w16cid:durableId="875045854">
    <w:abstractNumId w:val="13"/>
  </w:num>
  <w:num w:numId="25" w16cid:durableId="364600100">
    <w:abstractNumId w:val="37"/>
  </w:num>
  <w:num w:numId="26" w16cid:durableId="1351905939">
    <w:abstractNumId w:val="5"/>
  </w:num>
  <w:num w:numId="27" w16cid:durableId="1033766018">
    <w:abstractNumId w:val="36"/>
  </w:num>
  <w:num w:numId="28" w16cid:durableId="1040664834">
    <w:abstractNumId w:val="41"/>
  </w:num>
  <w:num w:numId="29" w16cid:durableId="1612980910">
    <w:abstractNumId w:val="40"/>
  </w:num>
  <w:num w:numId="30" w16cid:durableId="2025670779">
    <w:abstractNumId w:val="32"/>
  </w:num>
  <w:num w:numId="31" w16cid:durableId="1630894553">
    <w:abstractNumId w:val="12"/>
  </w:num>
  <w:num w:numId="32" w16cid:durableId="957179878">
    <w:abstractNumId w:val="15"/>
  </w:num>
  <w:num w:numId="33" w16cid:durableId="1132135201">
    <w:abstractNumId w:val="35"/>
  </w:num>
  <w:num w:numId="34" w16cid:durableId="914438777">
    <w:abstractNumId w:val="27"/>
  </w:num>
  <w:num w:numId="35" w16cid:durableId="1184587561">
    <w:abstractNumId w:val="22"/>
  </w:num>
  <w:num w:numId="36" w16cid:durableId="897714127">
    <w:abstractNumId w:val="16"/>
  </w:num>
  <w:num w:numId="37" w16cid:durableId="802427873">
    <w:abstractNumId w:val="18"/>
  </w:num>
  <w:num w:numId="38" w16cid:durableId="1789006291">
    <w:abstractNumId w:val="24"/>
  </w:num>
  <w:num w:numId="39" w16cid:durableId="1814324148">
    <w:abstractNumId w:val="30"/>
  </w:num>
  <w:num w:numId="40" w16cid:durableId="383142062">
    <w:abstractNumId w:val="38"/>
  </w:num>
  <w:num w:numId="41" w16cid:durableId="1370448290">
    <w:abstractNumId w:val="26"/>
  </w:num>
  <w:num w:numId="42" w16cid:durableId="474757800">
    <w:abstractNumId w:val="42"/>
  </w:num>
  <w:num w:numId="43" w16cid:durableId="448739401">
    <w:abstractNumId w:val="31"/>
  </w:num>
  <w:num w:numId="44" w16cid:durableId="1588463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AE"/>
    <w:rsid w:val="00002C17"/>
    <w:rsid w:val="000133A6"/>
    <w:rsid w:val="00022E19"/>
    <w:rsid w:val="0002566F"/>
    <w:rsid w:val="000266D2"/>
    <w:rsid w:val="00030F9A"/>
    <w:rsid w:val="000321CC"/>
    <w:rsid w:val="00033390"/>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5608A"/>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1F236E"/>
    <w:rsid w:val="00203E02"/>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03BB"/>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01B6"/>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5534"/>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0AE"/>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1BA0"/>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10DA"/>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8DDCB"/>
  <w15:chartTrackingRefBased/>
  <w15:docId w15:val="{837134D8-4A35-44D4-8CEE-67572F55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 w:type="paragraph" w:customStyle="1" w:styleId="lauftext">
    <w:name w:val="lauftext"/>
    <w:basedOn w:val="Standard"/>
    <w:rsid w:val="003803BB"/>
    <w:pPr>
      <w:spacing w:before="100" w:beforeAutospacing="1" w:after="100" w:afterAutospacing="1"/>
    </w:pPr>
    <w:rPr>
      <w:rFonts w:ascii="Times New Roman" w:hAnsi="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ie-noe.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3.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4.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273</Words>
  <Characters>1720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1990</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4</cp:revision>
  <cp:lastPrinted>2012-09-19T11:30:00Z</cp:lastPrinted>
  <dcterms:created xsi:type="dcterms:W3CDTF">2026-07-16T09:00:00Z</dcterms:created>
  <dcterms:modified xsi:type="dcterms:W3CDTF">2026-07-30T13:44:00Z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